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2025 73 vom 28. Februar 2025</w:t>
      </w:r>
    </w:p>
    <w:p>
      <w:r>
        <w:t>BE Obergericht, 2025-02-28, DE</w:t>
      </w:r>
    </w:p>
    <w:p>
      <w:r>
        <w:rPr>
          <w:b/>
        </w:rPr>
        <w:t xml:space="preserve">Quelle: </w:t>
      </w:r>
      <w:r>
        <w:t>https://mcp.opencaselaw.ch/entscheid/be_zivilstraf_BK 2025 73</w:t>
      </w:r>
    </w:p>
    <w:p>
      <w:r>
        <w:t>FR: BE_ZIVILSTRAF BK 2025 73 du 28 février 2025</w:t>
      </w:r>
    </w:p>
    <w:p>
      <w:r>
        <w:t>IT: BE_ZIVILSTRAF BK 2025 73 del 28 febbraio 2025</w:t>
      </w:r>
    </w:p>
    <w:p>
      <w:pPr>
        <w:pStyle w:val="Heading2"/>
      </w:pPr>
      <w:r>
        <w:t>Regeste</w:t>
      </w:r>
    </w:p>
    <w:p>
      <w:r>
        <w:t>Verlängerung Ersatzmassnahmen; Veruntreuung und Widerhandlungen gegen das Bundesgesetz über den Erwerb von Grundstücken durch Personen im Ausland | ZMG Haft (393-c)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Die Regionale Staatsanwaltschaft Berner Jura-Seeland (nachfolgend: Staatsan- waltschaft) führt ein Strafverfahren gegen A.________ (nachfolgend: Beschwerde- führerin) und ihren Ehemann D.________ wegen Veruntreuung und Widerhandlung gegen das Bundesgesetz über den Erwerb von Grundstücken durch Personen im Ausland. Am 1. November 2024 ordnete das regionale Zwangsmassnahmengericht Berner Jura-Seeland (nachfolgend: regionales Zwangsmassnahmengericht) auf Antrag der Staatsanwaltschaft für die Dauer von drei Monaten, d.h. bis am 29. Ja- nuar 2025, folgende Ersatzmassnahmen an: a. Die Beschuldigte hat gemäss Art. 237 Abs. 2 lit. a StPO mit beiliegendem Einzahlungsschein umgehend eine Sicherheitsleistung in der Höhe von CHF 100'000.00 in die Gerichtskasse ein- zubezahlen. b. Im Sinne von Art. 237 Abs. 1 und Abs. 2 lit. b StPO wird der Pass (Nummer noch bekannt zu geben) der Beschuldigten, A.________, eingezogen. Es wird festgestellt, dass das genannte Dokument bereits bei der Regionalen Staatsanwaltschaft Berner Jura-Seeland hinterlegt worden ist. Die ausstellende kantonale Behörde wird gemäss Art. 13 Abs. 1 lit. b i.V.m. Art. 13 Abs. 2 AwG (SR 143.1) angewiesen, die Ausweishinterlegung in das Informationssystem Ausweis- schriften (ISA) einzutragen. c. Im Sinne von Art. 237 Abs. 1 und Abs. 2 lit. b StPO wird der Beschuldigten, A.________, eine Schriftensperre auferlegt. Die ausstellende kantonale Behörde wird gemäss Art. 13 Abs. 1 lit. a i.V.m. Art. 13 Abs. 2 AwG (SR 143.1) angewiesen, die Schriftensperre in das Informationssys- tem Ausweisschriften (ISA) einzutragen. d. Die Beschuldigte wird gemäss Art. 237 Abs. 2 lit. c StPO angewiesen, sich ausschliesslich in ih- rer Wohnung an der E.________ (Strasse) in F.________ (Ort) aufzuhalten.</w:t>
      </w:r>
    </w:p>
    <w:p>
      <w:r>
        <w:rPr>
          <w:b/>
        </w:rPr>
        <w:t>E. 1.2</w:t>
      </w:r>
    </w:p>
    <w:p>
      <w:r>
        <w:t>Mit Verfügung vom 22. November 2024 änderte die Staatsanwaltschaft auf Antrag der Beschwerdeführerin die Ersatzmassnahmen insofern ab, als ihr erlaubt wurde, sich täglich zwischen 11:30 Uhr und 13:00 Uhr in einem definierten Gebiet nahe ih- rer Wohnung zu Fuss zu bewegen. Mit Entscheid vom 31. Januar 2025 verlängerte das Kantonale Zwangsmassnahmengerichts (nachfolgend: Zwangsmassnahmen- gericht/Vorinstanz) die Ersatzmassnahmen gemäss Entscheid des regionalen Zwangsmassnahmengericht vom 1. November 2024 um drei Monate, d.h. bis am 29. April 2025. Entsprechend wurden der Beschwerdeführerin folgende – teilweise abgeänderte – Ersatzmassnahmen auferlegt: - Sicherheitsleistung: Die Sicherheitsleistung in der Höhe von CHF 100'000.00 gemäss Art. 237 Abs. 2 lit. a StPO wird aufrechterhalten; - Ausweis- und Schriftensperre: Die mit Entscheid vom 1. November 2024 angeordnete Aus- weis- und Schriftensperre wird aufrechterhalten; - Überwachte Eingrenzung: Die Beschuldigte wird gemäss Art. 237 Abs. 2 lit. c StPO angewie- sen, sich ausschliesslich innerhalb der Verwaltungsregion Seeland (gemäss Art. 39a Abs. 3 lit. b OrG) aufzuhalten.</w:t>
      </w:r>
    </w:p>
    <w:p>
      <w:r>
        <w:rPr>
          <w:b/>
        </w:rPr>
        <w:t>E. 1.3</w:t>
      </w:r>
    </w:p>
    <w:p>
      <w:r>
        <w:t>Hiergegen erhob die Beschwerdeführerin, verteidigt durch Rechtsanwalt Dr. B.________, am 13. Februar 2025 Beschwerde bei der Beschwerdekammer in Strafsachen des Obergerichts des Kantons Bern (nachfolgend: Beschwerdekam- mer). Er beantragte Folgendes:</w:t>
      </w:r>
    </w:p>
    <w:p>
      <w:r>
        <w:rPr>
          <w:b/>
        </w:rPr>
        <w:t>E. 3</w:t>
      </w:r>
    </w:p>
    <w:p>
      <w:r>
        <w:t>Zur Überwachung der Ersatzmassnahme gemäss Ziff. 2 Bst. d. dieses Entscheids wird der Ein- satz technischer Geräte und deren feste Verbindung mit der zu überwachenden Person angeord- net (Art. 237 Abs. 3 StPO).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